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sz w:val="36"/>
          <w:szCs w:val="34"/>
        </w:rPr>
      </w:pPr>
      <w:r>
        <w:rPr>
          <w:sz w:val="36"/>
          <w:szCs w:val="34"/>
        </w:rPr>
        <w:t>LEI MUNICIPAL Nº 20</w:t>
      </w:r>
      <w:r>
        <w:rPr>
          <w:rFonts w:hint="default"/>
          <w:sz w:val="36"/>
          <w:szCs w:val="34"/>
          <w:lang w:val="pt-BR"/>
        </w:rPr>
        <w:t>81</w:t>
      </w:r>
      <w:r>
        <w:rPr>
          <w:sz w:val="36"/>
          <w:szCs w:val="34"/>
        </w:rPr>
        <w:t xml:space="preserve"> DE </w:t>
      </w:r>
      <w:r>
        <w:rPr>
          <w:rFonts w:hint="default"/>
          <w:sz w:val="36"/>
          <w:szCs w:val="34"/>
          <w:lang w:val="pt-BR"/>
        </w:rPr>
        <w:t>05</w:t>
      </w:r>
      <w:r>
        <w:rPr>
          <w:sz w:val="36"/>
          <w:szCs w:val="34"/>
        </w:rPr>
        <w:t xml:space="preserve"> DE </w:t>
      </w:r>
      <w:r>
        <w:rPr>
          <w:rFonts w:hint="default"/>
          <w:sz w:val="36"/>
          <w:szCs w:val="34"/>
          <w:lang w:val="pt-BR"/>
        </w:rPr>
        <w:t>NOVEMBRO</w:t>
      </w:r>
      <w:r>
        <w:rPr>
          <w:sz w:val="36"/>
          <w:szCs w:val="34"/>
        </w:rPr>
        <w:t xml:space="preserve"> DE 2021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ind w:left="3135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ESTIMA A RECEITA E FIXA A DESPESA DO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MUNICÍPIO DE TREZE TÍLIAS</w:t>
      </w:r>
      <w:r>
        <w:rPr>
          <w:rFonts w:hint="default" w:cs="Times New Roman"/>
          <w:b w:val="0"/>
          <w:bCs/>
          <w:sz w:val="24"/>
          <w:szCs w:val="24"/>
          <w:lang w:val="pt-BR"/>
        </w:rPr>
        <w:t>/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SC PARA O EXERCÍCIO DE 2022</w:t>
      </w:r>
      <w:r>
        <w:rPr>
          <w:rFonts w:hint="default" w:cs="Times New Roman"/>
          <w:b w:val="0"/>
          <w:bCs/>
          <w:sz w:val="24"/>
          <w:szCs w:val="24"/>
          <w:lang w:val="pt-BR"/>
        </w:rPr>
        <w:t xml:space="preserve"> E DÁ OUTRAS PROVIDÊNCIAS</w:t>
      </w:r>
    </w:p>
    <w:p>
      <w:pPr>
        <w:autoSpaceDE w:val="0"/>
        <w:autoSpaceDN w:val="0"/>
        <w:adjustRightInd w:val="0"/>
        <w:ind w:left="3135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RUDI OHLWEILER, Prefeito Municipal de Treze Tílias, </w:t>
      </w:r>
      <w:r>
        <w:rPr>
          <w:rFonts w:hint="default" w:ascii="Times New Roman" w:hAnsi="Times New Roman" w:cs="Times New Roman"/>
          <w:sz w:val="24"/>
          <w:szCs w:val="24"/>
        </w:rPr>
        <w:t>Estado de Santa Catarina no uso de atribuições conferidas pela Lei Orgânica do Município.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FAÇO SABER, </w:t>
      </w:r>
      <w:r>
        <w:rPr>
          <w:rFonts w:hint="default" w:ascii="Times New Roman" w:hAnsi="Times New Roman" w:cs="Times New Roman"/>
          <w:sz w:val="24"/>
          <w:szCs w:val="24"/>
        </w:rPr>
        <w:t>que o Poder Legislativo Municipal aprovou, e eu sanciono e promulgo a seguinte Lei: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1º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O Orçamento do Município de Treze Tílias - SC para o exercício 2022, discriminado nos anexos integrantes nesta Lei, e</w:t>
      </w:r>
      <w:r>
        <w:rPr>
          <w:rFonts w:hint="default" w:ascii="Times New Roman" w:hAnsi="Times New Roman" w:cs="Times New Roman"/>
          <w:bCs/>
          <w:sz w:val="24"/>
          <w:szCs w:val="24"/>
        </w:rPr>
        <w:t>stima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 receita e fixa a despesa em R$ 47.150.000,00 (quarenta e sete milhões, cento e cinquenta mil reais)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709"/>
        <w:jc w:val="both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2º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A Receita será arrecadada de conformidade com a legislação em vigor, obedecendo à especificação constante do Anexo 2 da Lei Federal 4.320, de 17 de março de 1964 e suas alterações, de acordo com o seguinte desdobramento: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RECEITAS</w:t>
            </w:r>
          </w:p>
        </w:tc>
        <w:tc>
          <w:tcPr>
            <w:tcW w:w="1893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47.150.000,00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Impostos, Taxas e Contribuição de Melhoria</w:t>
            </w:r>
          </w:p>
        </w:tc>
        <w:tc>
          <w:tcPr>
            <w:tcW w:w="1893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6.651.820,00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Receita de Contribuições</w:t>
            </w:r>
          </w:p>
        </w:tc>
        <w:tc>
          <w:tcPr>
            <w:tcW w:w="1893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1.490.000,00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Receita Patrimonial</w:t>
            </w:r>
          </w:p>
        </w:tc>
        <w:tc>
          <w:tcPr>
            <w:tcW w:w="1893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58.060,00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Receita de Serviços</w:t>
            </w:r>
          </w:p>
        </w:tc>
        <w:tc>
          <w:tcPr>
            <w:tcW w:w="1893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Transferências Correntes</w:t>
            </w:r>
          </w:p>
        </w:tc>
        <w:tc>
          <w:tcPr>
            <w:tcW w:w="1893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37.824.800,00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Outras Receitas Correntes</w:t>
            </w:r>
          </w:p>
        </w:tc>
        <w:tc>
          <w:tcPr>
            <w:tcW w:w="1893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1.113.320,00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3º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A despesa será realizada de acordo com a discriminação constante nos Anexos a presente lei, segundo os Órgãos, Unidades Orçamentárias, Funções, Subfunções, Programas, Projetos/Atividades, Categorias Econômicas, Objetos de Despesa, Ações Prioritárias e Metas, obedecendo ao seguinte desdobramento: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DESPESA POR ÓRGÃO DA ADMINISTRAÇÃO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0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Câmara de Vereadores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1.115.000,00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Gabinete do Prefeito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1.510.000,00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Secretaria de Administração e Finanças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4.887.000,00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Secretaria de Planejamento e Obras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6.277.860,00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Secretaria de Educação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13.857.900,00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Secretaria de Cultura, Turismo, Esportes e Empreendimento Turísticos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1.769.000,00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Secretaria da Indústria, Comércio e Desenvolvimento Empresarial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4.454.000,00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Secretaria de Desenvolvimento Rural, Meio Ambiente e Gestão de Trânsito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2.236.200,00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Fundo do Idoso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Conselho Tutelar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243.000,00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Fundo da Cultura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Fundo da Defesa Civil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Fundo do Meio Ambiente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Fundo do Saneamento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Fundo da Habitação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1.666.000,00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Fundo de Assistência Social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953.900,00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Fundo de Saúde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6.733.140,00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Fundo de Assistência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1.350.000,00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Fundo da Criança e Adolescente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TOTAL GERAL</w:t>
            </w:r>
          </w:p>
        </w:tc>
        <w:tc>
          <w:tcPr>
            <w:tcW w:w="203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47.150.000,00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4º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O Poder Executivo é autorizado a tomar medidas para ajustar os dispêndios ao efetivo comportamento da receita.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5º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O Poder Executivo é autorizado a proceder, em qualquer época do exercício, a abertura de créditos suplementares até o limite de 50% (cinquenta por cento) do total da despesa fixada, para o orçamento de cada uma das unidades gestoras, utilizando como fonte de recursos: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– o excesso ou provável excesso de arrecadação, observada a tendência do exercício;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II – a anulação de saldos de dotações orçamentárias, desde que não comprometidas;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III – superávit financeiro do exercício anterior.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Parágrafo único</w:t>
      </w:r>
      <w:r>
        <w:rPr>
          <w:rFonts w:hint="default" w:cs="Times New Roman"/>
          <w:b w:val="0"/>
          <w:bCs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Excluem-se desse limite, os créditos adicionais suplementares decorrentes de leis municipais específicas aprovadas no exercício e o excesso de arrecadação das receitas de capital.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Art. 6º</w:t>
      </w:r>
      <w:r>
        <w:rPr>
          <w:rFonts w:hint="default" w:cs="Times New Roman"/>
          <w:bCs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 despesas por conta de dotações vinculadas a convênios, operações de créditos e outras receitas de realização extraordinária só serão executadas ou utilizadas de alguma forma, se estiver assegurado o seu ingresso no fluxo de caixa.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Art. 7º</w:t>
      </w:r>
      <w:r>
        <w:rPr>
          <w:rFonts w:hint="default" w:cs="Times New Roman"/>
          <w:bCs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Os recursos oriundos de convênios não previstos no orçamento da receita, ou o seu excesso, poderão ser utilizados como fontes de recursos para abertura de créditos adicionais suplementares de projetos, atividades ou operações especiais por atos do Chefe do Poder Executivo Municipal.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8º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 destinações de recursos, aprovados na lei orçamentária e em seus créditos adicionais, poderão ser modificadas, para atender às necessidades de execução do orçamento, por Decreto do Poder Executivo.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9º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Fica autorizada a realização de Operações de Crédito por Antecipação da Receita, até o limite de 25% (vinte e cinco por cento) do total da receita estimada, obedecidas as normas da Legislação pertinente e oferecendo as garantias usuais necessárias.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10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Os Projetos e Atividades que correspondem a receitas a eles vinculadas ficam automaticamente suplementados, pelo valor do excesso de arrecadação sobre a previsão inicial da receita.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11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Durante o exercício de 2022, o Executivo Municipal poderá realizar operações de crédito para financiamento de programas priorizados nesta lei.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12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Fica o Executivo Municipal autorizado a movimentar o excesso de arrecadação através de Decreto para suplementar dotação orçamentária, desde que comprovada a sua existência, bem como o superávit financeiro do exercício anterior.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13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Fica o Poder Executivo autorizado através de decreto a transpor, remanejar ou transferir recursos dentro do mesmo projeto, atividade ou operação especial, não se limitando ao percentual previsto no artigo 5º desta lei.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14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Fica o Executivo Municipal autorizado a firmar convênios com o Governo Federal, Estadual e Municipal, diretamente, ou através de seus órgãos da Administração Direta ou indireta.</w:t>
      </w:r>
    </w:p>
    <w:p>
      <w:pPr>
        <w:ind w:firstLine="709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Art. 15</w:t>
      </w:r>
      <w:r>
        <w:rPr>
          <w:rFonts w:hint="default" w:cs="Times New Roman"/>
          <w:bCs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 Poder Executivo poderá oferecer em garantia dos empréstimos contraídos nos termos da Lei, o produto da arrecadação de quaisquer das receitas transferidas do orçamento do estado, inclusive cotas-partes de Fundos Federais.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16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Fica o Executivo Municipal autorizado a conceder contribuições às seguintes entidades: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AMMOC – Associação dos Municípios do Meio Oeste Catarinense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FECAM – Federação Catarinense de Municípios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CNM – Confederação Nacional dos Municípios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17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Fica o Chefe do Poder Executivo Municipal autorizado a alterar e adequar a LDO 2022 bem como o Plano Plurianual para o quadriênio de 2022 a 2025, de acordo com a presente lei e seus anexos, para promover a compatibilidade entre as respectivas peças orçamentárias.</w:t>
      </w:r>
    </w:p>
    <w:p>
      <w:pPr>
        <w:ind w:firstLine="709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18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Ficam atualizados os Anexos do PPA 2022/2025 e LDO 2022 de acordo com o Ementário das Rubricas de que trata a Portaria STN 388 de 14 de junho de 2018.</w:t>
      </w:r>
    </w:p>
    <w:p>
      <w:pPr>
        <w:ind w:firstLine="709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19</w:t>
      </w:r>
      <w:r>
        <w:rPr>
          <w:rFonts w:hint="default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A presente Lei entrará em vigor em 01 de janeiro de 2022, revogadas as disposições em contrário.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szCs w:val="25"/>
        </w:rPr>
      </w:pPr>
      <w:r>
        <w:rPr>
          <w:szCs w:val="25"/>
        </w:rPr>
        <w:t xml:space="preserve">Gabinete do Prefeito Municipal de Treze Tílias, aos </w:t>
      </w:r>
      <w:r>
        <w:rPr>
          <w:rFonts w:hint="default"/>
          <w:szCs w:val="25"/>
          <w:lang w:val="pt-BR"/>
        </w:rPr>
        <w:t>05</w:t>
      </w:r>
      <w:r>
        <w:rPr>
          <w:szCs w:val="25"/>
        </w:rPr>
        <w:t xml:space="preserve"> dias do mês de </w:t>
      </w:r>
      <w:r>
        <w:rPr>
          <w:rFonts w:hint="default"/>
          <w:szCs w:val="25"/>
          <w:lang w:val="pt-BR"/>
        </w:rPr>
        <w:t>novembro</w:t>
      </w:r>
      <w:r>
        <w:rPr>
          <w:szCs w:val="25"/>
        </w:rPr>
        <w:t xml:space="preserve"> de 2021.</w:t>
      </w:r>
    </w:p>
    <w:p>
      <w:pPr>
        <w:jc w:val="both"/>
        <w:rPr>
          <w:szCs w:val="25"/>
        </w:rPr>
      </w:pPr>
    </w:p>
    <w:p>
      <w:pPr>
        <w:jc w:val="center"/>
        <w:rPr>
          <w:szCs w:val="25"/>
        </w:rPr>
      </w:pPr>
    </w:p>
    <w:p>
      <w:pPr>
        <w:jc w:val="center"/>
        <w:rPr>
          <w:szCs w:val="25"/>
        </w:rPr>
      </w:pPr>
    </w:p>
    <w:p>
      <w:pPr>
        <w:jc w:val="center"/>
        <w:rPr>
          <w:szCs w:val="25"/>
        </w:rPr>
      </w:pPr>
      <w:r>
        <w:rPr>
          <w:szCs w:val="25"/>
        </w:rPr>
        <w:t>RUDI OHLWEILER</w:t>
      </w:r>
    </w:p>
    <w:p>
      <w:pPr>
        <w:jc w:val="center"/>
        <w:rPr>
          <w:i/>
          <w:szCs w:val="25"/>
        </w:rPr>
      </w:pPr>
      <w:r>
        <w:rPr>
          <w:i/>
          <w:szCs w:val="25"/>
        </w:rPr>
        <w:t>Prefeito Municipal</w:t>
      </w:r>
    </w:p>
    <w:p>
      <w:pPr>
        <w:jc w:val="center"/>
        <w:rPr>
          <w:szCs w:val="25"/>
        </w:rPr>
      </w:pPr>
    </w:p>
    <w:p>
      <w:pPr>
        <w:jc w:val="center"/>
        <w:rPr>
          <w:szCs w:val="25"/>
        </w:rPr>
      </w:pPr>
    </w:p>
    <w:p>
      <w:pPr>
        <w:jc w:val="left"/>
        <w:rPr>
          <w:szCs w:val="25"/>
        </w:rPr>
      </w:pPr>
      <w:r>
        <w:rPr>
          <w:szCs w:val="25"/>
        </w:rPr>
        <w:t>Registrada e publicada a presente Lei no Diário Oficial dos Municípios – DOM.</w:t>
      </w:r>
    </w:p>
    <w:p>
      <w:pPr>
        <w:jc w:val="both"/>
        <w:rPr>
          <w:szCs w:val="25"/>
        </w:rPr>
      </w:pPr>
    </w:p>
    <w:p>
      <w:pPr>
        <w:jc w:val="both"/>
        <w:rPr>
          <w:szCs w:val="25"/>
        </w:rPr>
      </w:pPr>
    </w:p>
    <w:p>
      <w:pPr>
        <w:jc w:val="both"/>
        <w:rPr>
          <w:szCs w:val="25"/>
        </w:rPr>
      </w:pPr>
      <w:r>
        <w:rPr>
          <w:szCs w:val="25"/>
        </w:rPr>
        <w:t>IARA DE ROSS</w:t>
      </w:r>
    </w:p>
    <w:p>
      <w:pPr>
        <w:jc w:val="both"/>
        <w:rPr>
          <w:szCs w:val="24"/>
        </w:rPr>
      </w:pPr>
      <w:r>
        <w:rPr>
          <w:i/>
          <w:szCs w:val="25"/>
        </w:rPr>
        <w:t>Secretária Mun. de Administração e Finanças</w:t>
      </w:r>
    </w:p>
    <w:p>
      <w:pPr>
        <w:autoSpaceDE w:val="0"/>
        <w:autoSpaceDN w:val="0"/>
        <w:adjustRightInd w:val="0"/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5" w:type="default"/>
      <w:footerReference r:id="rId7" w:type="default"/>
      <w:headerReference r:id="rId6" w:type="even"/>
      <w:pgSz w:w="11907" w:h="16840"/>
      <w:pgMar w:top="1701" w:right="1134" w:bottom="1701" w:left="1701" w:header="624" w:footer="624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tbl>
    <w:tblPr>
      <w:tblStyle w:val="3"/>
      <w:tblW w:w="10800" w:type="dxa"/>
      <w:tblInd w:w="-101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8160"/>
      <w:gridCol w:w="2640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1194" w:hRule="atLeast"/>
      </w:trPr>
      <w:tc>
        <w:tcPr>
          <w:tcW w:w="8160" w:type="dxa"/>
          <w:tcBorders>
            <w:top w:val="nil"/>
            <w:bottom w:val="nil"/>
          </w:tcBorders>
          <w:vAlign w:val="bottom"/>
        </w:tcPr>
        <w:p>
          <w:pPr>
            <w:pStyle w:val="5"/>
            <w:jc w:val="center"/>
            <w:rPr>
              <w:rFonts w:ascii="Arial Narrow" w:hAnsi="Arial Narrow"/>
              <w:sz w:val="18"/>
            </w:rPr>
          </w:pPr>
        </w:p>
        <w:p>
          <w:pPr>
            <w:pStyle w:val="5"/>
            <w:jc w:val="center"/>
            <w:rPr>
              <w:rFonts w:ascii="Arial Narrow" w:hAnsi="Arial Narrow"/>
              <w:sz w:val="18"/>
            </w:rPr>
          </w:pPr>
        </w:p>
        <w:p>
          <w:pPr>
            <w:pStyle w:val="5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>
          <w:pPr>
            <w:pStyle w:val="5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Thaler, 25  </w:t>
          </w:r>
        </w:p>
        <w:p>
          <w:pPr>
            <w:pStyle w:val="5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>
          <w:pPr>
            <w:pStyle w:val="5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>
          <w:pPr>
            <w:pStyle w:val="5"/>
            <w:jc w:val="center"/>
            <w:rPr>
              <w:sz w:val="18"/>
            </w:rPr>
          </w:pPr>
        </w:p>
        <w:p>
          <w:pPr>
            <w:pStyle w:val="5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>
          <w:pPr>
            <w:pStyle w:val="5"/>
            <w:jc w:val="center"/>
            <w:rPr>
              <w:sz w:val="10"/>
            </w:rPr>
          </w:pPr>
        </w:p>
        <w:p>
          <w:pPr>
            <w:pStyle w:val="5"/>
            <w:jc w:val="center"/>
            <w:rPr>
              <w:sz w:val="16"/>
            </w:rPr>
          </w:pPr>
          <w:r>
            <w:object>
              <v:shape id="_x0000_i1025" o:spt="75" type="#_x0000_t75" style="height:65.25pt;width:121.5pt;" o:ole="t" filled="f" o:preferrelative="t" stroked="f" coordsize="21600,21600">
                <v:path/>
                <v:fill on="f" focussize="0,0"/>
                <v:stroke on="f" joinstyle="miter"/>
                <v:imagedata r:id="rId2" o:title=""/>
                <o:lock v:ext="edit" aspectratio="t"/>
                <w10:wrap type="none"/>
                <w10:anchorlock/>
              </v:shape>
              <o:OLEObject Type="Embed" ProgID="PBrush" ShapeID="_x0000_i1025" DrawAspect="Content" ObjectID="_1468075725" r:id="rId1">
                <o:LockedField>false</o:LockedField>
              </o:OLEObject>
            </w:object>
          </w:r>
        </w:p>
      </w:tc>
    </w:tr>
  </w:tbl>
  <w:p>
    <w:pPr>
      <w:pStyle w:val="5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-29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680"/>
      <w:gridCol w:w="7784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634" w:hRule="atLeast"/>
      </w:trPr>
      <w:tc>
        <w:tcPr>
          <w:tcW w:w="1680" w:type="dxa"/>
        </w:tcPr>
        <w:p>
          <w:pPr>
            <w:pStyle w:val="4"/>
          </w:pPr>
          <w:r>
            <w:drawing>
              <wp:inline distT="0" distB="0" distL="0" distR="0">
                <wp:extent cx="948690" cy="1043940"/>
                <wp:effectExtent l="0" t="0" r="3810" b="3810"/>
                <wp:docPr id="1" name="Imagem 1" descr="Descrição: 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>
          <w:pPr>
            <w:pStyle w:val="4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>
          <w:pPr>
            <w:pStyle w:val="4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>
    <w:pPr>
      <w:pStyle w:val="4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D3"/>
    <w:rsid w:val="00003B3E"/>
    <w:rsid w:val="000233CD"/>
    <w:rsid w:val="00045A98"/>
    <w:rsid w:val="000515DC"/>
    <w:rsid w:val="00082106"/>
    <w:rsid w:val="000868D4"/>
    <w:rsid w:val="000D16C6"/>
    <w:rsid w:val="000F67E0"/>
    <w:rsid w:val="001007F6"/>
    <w:rsid w:val="00133D53"/>
    <w:rsid w:val="00145104"/>
    <w:rsid w:val="0018762E"/>
    <w:rsid w:val="0019785F"/>
    <w:rsid w:val="001B648B"/>
    <w:rsid w:val="00230EA1"/>
    <w:rsid w:val="00291E22"/>
    <w:rsid w:val="002F68E9"/>
    <w:rsid w:val="0031797D"/>
    <w:rsid w:val="0032258A"/>
    <w:rsid w:val="003477F6"/>
    <w:rsid w:val="003A0C49"/>
    <w:rsid w:val="00405102"/>
    <w:rsid w:val="004B1336"/>
    <w:rsid w:val="004D7A03"/>
    <w:rsid w:val="00587068"/>
    <w:rsid w:val="005A53E4"/>
    <w:rsid w:val="005A721D"/>
    <w:rsid w:val="005C16B0"/>
    <w:rsid w:val="005D656D"/>
    <w:rsid w:val="00643C9C"/>
    <w:rsid w:val="006E16E6"/>
    <w:rsid w:val="00725C9C"/>
    <w:rsid w:val="00750A93"/>
    <w:rsid w:val="007675BD"/>
    <w:rsid w:val="007F4D8B"/>
    <w:rsid w:val="007F79FE"/>
    <w:rsid w:val="008A3646"/>
    <w:rsid w:val="008E39D9"/>
    <w:rsid w:val="008F537F"/>
    <w:rsid w:val="008F7864"/>
    <w:rsid w:val="00906958"/>
    <w:rsid w:val="0093078D"/>
    <w:rsid w:val="00931A39"/>
    <w:rsid w:val="00947D52"/>
    <w:rsid w:val="00A226FE"/>
    <w:rsid w:val="00A30BC1"/>
    <w:rsid w:val="00A4488A"/>
    <w:rsid w:val="00A626BA"/>
    <w:rsid w:val="00A82268"/>
    <w:rsid w:val="00A939B3"/>
    <w:rsid w:val="00A97DBF"/>
    <w:rsid w:val="00AB3EAC"/>
    <w:rsid w:val="00AC07F2"/>
    <w:rsid w:val="00AC17A9"/>
    <w:rsid w:val="00B21299"/>
    <w:rsid w:val="00B251E3"/>
    <w:rsid w:val="00B42A30"/>
    <w:rsid w:val="00B618FF"/>
    <w:rsid w:val="00BA4CBC"/>
    <w:rsid w:val="00BB6B5A"/>
    <w:rsid w:val="00C22414"/>
    <w:rsid w:val="00C23E4C"/>
    <w:rsid w:val="00C32A27"/>
    <w:rsid w:val="00C9030C"/>
    <w:rsid w:val="00CD006B"/>
    <w:rsid w:val="00CE0277"/>
    <w:rsid w:val="00CE2FBB"/>
    <w:rsid w:val="00D007E9"/>
    <w:rsid w:val="00D36C20"/>
    <w:rsid w:val="00D86223"/>
    <w:rsid w:val="00D94021"/>
    <w:rsid w:val="00DD1378"/>
    <w:rsid w:val="00E46C33"/>
    <w:rsid w:val="00EA5986"/>
    <w:rsid w:val="00EB0798"/>
    <w:rsid w:val="00ED1CD3"/>
    <w:rsid w:val="00F835FE"/>
    <w:rsid w:val="00FA0C9D"/>
    <w:rsid w:val="0252482B"/>
    <w:rsid w:val="09BB12EA"/>
    <w:rsid w:val="3D89553F"/>
    <w:rsid w:val="5B9F668A"/>
    <w:rsid w:val="6E2C5B9E"/>
    <w:rsid w:val="7215492B"/>
    <w:rsid w:val="7B2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iPriority w:val="0"/>
    <w:pPr>
      <w:tabs>
        <w:tab w:val="center" w:pos="4419"/>
        <w:tab w:val="right" w:pos="8838"/>
      </w:tabs>
    </w:pPr>
  </w:style>
  <w:style w:type="paragraph" w:styleId="5">
    <w:name w:val="footer"/>
    <w:basedOn w:val="1"/>
    <w:link w:val="8"/>
    <w:uiPriority w:val="0"/>
    <w:pPr>
      <w:tabs>
        <w:tab w:val="center" w:pos="4419"/>
        <w:tab w:val="right" w:pos="8838"/>
      </w:tabs>
    </w:pPr>
  </w:style>
  <w:style w:type="paragraph" w:styleId="6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Cabeçalho Char"/>
    <w:basedOn w:val="2"/>
    <w:link w:val="4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8">
    <w:name w:val="Rodapé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9">
    <w:name w:val="Texto de balão Char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1124</Words>
  <Characters>6072</Characters>
  <Lines>50</Lines>
  <Paragraphs>14</Paragraphs>
  <TotalTime>19</TotalTime>
  <ScaleCrop>false</ScaleCrop>
  <LinksUpToDate>false</LinksUpToDate>
  <CharactersWithSpaces>7182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2021-10-22T13:38:00Z</dcterms:created>
  <dc:creator>GUESSER</dc:creator>
  <cp:lastModifiedBy>juridico</cp:lastModifiedBy>
  <cp:lastPrinted>2021-11-05T20:27:56Z</cp:lastPrinted>
  <dcterms:modified xsi:type="dcterms:W3CDTF">2021-11-05T20:29:48Z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46164D7DD74B48E9835D4A874AD504D4</vt:lpwstr>
  </property>
</Properties>
</file>